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BF7" w:rsidRPr="00347786" w:rsidRDefault="00B95BF7" w:rsidP="00B95BF7">
      <w:pPr>
        <w:pStyle w:val="1"/>
        <w:rPr>
          <w:rFonts w:ascii="David" w:hAnsi="David" w:cs="David"/>
          <w:color w:val="auto"/>
        </w:rPr>
      </w:pPr>
      <w:bookmarkStart w:id="0" w:name="_GoBack"/>
      <w:r w:rsidRPr="00347786">
        <w:rPr>
          <w:rFonts w:ascii="David" w:hAnsi="David" w:cs="David"/>
          <w:color w:val="auto"/>
          <w:rtl/>
        </w:rPr>
        <w:t xml:space="preserve">חוק עזר לבאקה אל גרביה (הצמדה למדד), </w:t>
      </w:r>
      <w:proofErr w:type="spellStart"/>
      <w:r w:rsidRPr="00347786">
        <w:rPr>
          <w:rFonts w:ascii="David" w:hAnsi="David" w:cs="David"/>
          <w:color w:val="auto"/>
          <w:rtl/>
        </w:rPr>
        <w:t>התשמ"ה</w:t>
      </w:r>
      <w:proofErr w:type="spellEnd"/>
      <w:r w:rsidR="00994D77" w:rsidRPr="00347786">
        <w:rPr>
          <w:rFonts w:ascii="David" w:hAnsi="David" w:cs="David"/>
          <w:color w:val="auto"/>
          <w:rtl/>
        </w:rPr>
        <w:t xml:space="preserve"> - 1985</w:t>
      </w:r>
    </w:p>
    <w:bookmarkEnd w:id="0"/>
    <w:p w:rsidR="00B95BF7" w:rsidRPr="00347786" w:rsidRDefault="00B95BF7" w:rsidP="00994D77">
      <w:pPr>
        <w:pStyle w:val="ad"/>
        <w:ind w:firstLine="0"/>
        <w:rPr>
          <w:rFonts w:ascii="David" w:hAnsi="David"/>
        </w:rPr>
      </w:pPr>
      <w:r w:rsidRPr="00347786">
        <w:rPr>
          <w:rFonts w:ascii="David" w:hAnsi="David"/>
          <w:rtl/>
        </w:rPr>
        <w:t>בתוקף סמכותה לפי סעיף 22 לפקודת המועצות המקומיות</w:t>
      </w:r>
      <w:r w:rsidR="00994D77" w:rsidRPr="00347786">
        <w:rPr>
          <w:rStyle w:val="af3"/>
          <w:rFonts w:ascii="David" w:hAnsi="David"/>
          <w:rtl/>
        </w:rPr>
        <w:footnoteReference w:id="1"/>
      </w:r>
      <w:r w:rsidRPr="00347786">
        <w:rPr>
          <w:rFonts w:ascii="David" w:hAnsi="David"/>
          <w:rtl/>
        </w:rPr>
        <w:t>, מתקינה המועצה המקומית באקה אל גרביה חוק עזר זה:</w:t>
      </w:r>
    </w:p>
    <w:p w:rsidR="00B95BF7" w:rsidRPr="00347786" w:rsidRDefault="00B95BF7" w:rsidP="00347786">
      <w:pPr>
        <w:pStyle w:val="2"/>
      </w:pPr>
      <w:r w:rsidRPr="00347786">
        <w:rPr>
          <w:rtl/>
        </w:rPr>
        <w:t>הגדרות</w:t>
      </w:r>
    </w:p>
    <w:p w:rsidR="00B95BF7" w:rsidRPr="00347786" w:rsidRDefault="00B95BF7" w:rsidP="00347786">
      <w:pPr>
        <w:pStyle w:val="ae"/>
        <w:ind w:left="284" w:hanging="284"/>
        <w:rPr>
          <w:rFonts w:ascii="David" w:hAnsi="David"/>
        </w:rPr>
      </w:pPr>
      <w:r w:rsidRPr="00347786">
        <w:rPr>
          <w:rFonts w:ascii="David" w:hAnsi="David"/>
          <w:b/>
          <w:rtl/>
        </w:rPr>
        <w:t>1.</w:t>
      </w:r>
      <w:r w:rsidRPr="00347786">
        <w:rPr>
          <w:rFonts w:ascii="David" w:hAnsi="David"/>
          <w:bCs/>
          <w:rtl/>
        </w:rPr>
        <w:tab/>
      </w:r>
      <w:r w:rsidRPr="00347786">
        <w:rPr>
          <w:rFonts w:ascii="David" w:hAnsi="David"/>
          <w:bCs/>
          <w:rtl/>
        </w:rPr>
        <w:tab/>
      </w:r>
      <w:r w:rsidRPr="00347786">
        <w:rPr>
          <w:rFonts w:ascii="David" w:hAnsi="David"/>
          <w:rtl/>
        </w:rPr>
        <w:t xml:space="preserve">בחוק עזר זה </w:t>
      </w:r>
      <w:r w:rsidRPr="00347786">
        <w:rPr>
          <w:rFonts w:ascii="David" w:hAnsi="David"/>
        </w:rPr>
        <w:t>-</w:t>
      </w:r>
    </w:p>
    <w:p w:rsidR="00B95BF7" w:rsidRPr="00347786" w:rsidRDefault="00B95BF7" w:rsidP="00B95BF7">
      <w:pPr>
        <w:pStyle w:val="ac"/>
        <w:rPr>
          <w:rFonts w:ascii="David" w:hAnsi="David"/>
        </w:rPr>
      </w:pPr>
      <w:r w:rsidRPr="00347786">
        <w:rPr>
          <w:rFonts w:ascii="David" w:hAnsi="David"/>
          <w:bCs/>
          <w:rtl/>
        </w:rPr>
        <w:t xml:space="preserve">"מדד" </w:t>
      </w:r>
      <w:r w:rsidRPr="00347786">
        <w:rPr>
          <w:rFonts w:ascii="David" w:hAnsi="David"/>
          <w:bCs/>
        </w:rPr>
        <w:t xml:space="preserve"> -</w:t>
      </w:r>
      <w:r w:rsidRPr="00347786">
        <w:rPr>
          <w:rFonts w:ascii="David" w:hAnsi="David"/>
          <w:rtl/>
        </w:rPr>
        <w:t>מדד המחירים לצרכן שמפרסמת הלשכה המרכזית לסטטיסטיקה;</w:t>
      </w:r>
    </w:p>
    <w:p w:rsidR="00B95BF7" w:rsidRPr="00347786" w:rsidRDefault="00B95BF7" w:rsidP="00B95BF7">
      <w:pPr>
        <w:pStyle w:val="ac"/>
        <w:rPr>
          <w:rFonts w:ascii="David" w:hAnsi="David"/>
        </w:rPr>
      </w:pPr>
      <w:r w:rsidRPr="00347786">
        <w:rPr>
          <w:rFonts w:ascii="David" w:hAnsi="David"/>
          <w:bCs/>
          <w:rtl/>
        </w:rPr>
        <w:t xml:space="preserve">"המועצה" </w:t>
      </w:r>
      <w:r w:rsidRPr="00347786">
        <w:rPr>
          <w:rFonts w:ascii="David" w:hAnsi="David"/>
          <w:bCs/>
        </w:rPr>
        <w:t xml:space="preserve"> -</w:t>
      </w:r>
      <w:r w:rsidRPr="00347786">
        <w:rPr>
          <w:rFonts w:ascii="David" w:hAnsi="David"/>
          <w:rtl/>
        </w:rPr>
        <w:t>המועצה המקומית באקה אל גרביה;</w:t>
      </w:r>
    </w:p>
    <w:p w:rsidR="00B95BF7" w:rsidRPr="00347786" w:rsidRDefault="00B95BF7" w:rsidP="00B95BF7">
      <w:pPr>
        <w:pStyle w:val="ac"/>
        <w:rPr>
          <w:rFonts w:ascii="David" w:hAnsi="David"/>
        </w:rPr>
      </w:pPr>
      <w:r w:rsidRPr="00347786">
        <w:rPr>
          <w:rFonts w:ascii="David" w:hAnsi="David"/>
          <w:bCs/>
          <w:rtl/>
        </w:rPr>
        <w:t xml:space="preserve">"ראש המועצה" </w:t>
      </w:r>
      <w:r w:rsidRPr="00347786">
        <w:rPr>
          <w:rFonts w:ascii="David" w:hAnsi="David"/>
          <w:bCs/>
        </w:rPr>
        <w:t xml:space="preserve"> -</w:t>
      </w:r>
      <w:r w:rsidRPr="00347786">
        <w:rPr>
          <w:rFonts w:ascii="David" w:hAnsi="David"/>
          <w:rtl/>
        </w:rPr>
        <w:t>לרבות מי שראש המועצה העביר לו את סמכויותיו בכתב לפי חוק עזר זה, כולן או מקצתן.</w:t>
      </w:r>
    </w:p>
    <w:p w:rsidR="00B95BF7" w:rsidRPr="00347786" w:rsidRDefault="00B95BF7" w:rsidP="00347786">
      <w:pPr>
        <w:pStyle w:val="2"/>
      </w:pPr>
      <w:r w:rsidRPr="00347786">
        <w:rPr>
          <w:rtl/>
        </w:rPr>
        <w:t>הצמדה למדד</w:t>
      </w:r>
    </w:p>
    <w:p w:rsidR="00347786" w:rsidRDefault="00B95BF7" w:rsidP="00B95BF7">
      <w:pPr>
        <w:pStyle w:val="ae"/>
        <w:rPr>
          <w:rFonts w:ascii="David" w:hAnsi="David"/>
          <w:b/>
          <w:rtl/>
        </w:rPr>
      </w:pPr>
      <w:r w:rsidRPr="00347786">
        <w:rPr>
          <w:rFonts w:ascii="David" w:hAnsi="David"/>
          <w:b/>
          <w:rtl/>
        </w:rPr>
        <w:t>2.</w:t>
      </w:r>
    </w:p>
    <w:p w:rsidR="00347786" w:rsidRDefault="00B95BF7" w:rsidP="00347786">
      <w:pPr>
        <w:pStyle w:val="ae"/>
        <w:numPr>
          <w:ilvl w:val="0"/>
          <w:numId w:val="2"/>
        </w:numPr>
        <w:tabs>
          <w:tab w:val="clear" w:pos="624"/>
          <w:tab w:val="clear" w:pos="651"/>
        </w:tabs>
        <w:ind w:left="521"/>
        <w:rPr>
          <w:rFonts w:ascii="David" w:hAnsi="David"/>
        </w:rPr>
      </w:pPr>
      <w:r w:rsidRPr="00347786">
        <w:rPr>
          <w:rFonts w:ascii="David" w:hAnsi="David"/>
          <w:rtl/>
        </w:rPr>
        <w:t xml:space="preserve">סכומי האגרות, ההיטלים והתשלומים האחרים, לפי </w:t>
      </w:r>
      <w:proofErr w:type="spellStart"/>
      <w:r w:rsidRPr="00347786">
        <w:rPr>
          <w:rFonts w:ascii="David" w:hAnsi="David"/>
          <w:rtl/>
        </w:rPr>
        <w:t>הענין</w:t>
      </w:r>
      <w:proofErr w:type="spellEnd"/>
      <w:r w:rsidRPr="00347786">
        <w:rPr>
          <w:rFonts w:ascii="David" w:hAnsi="David"/>
          <w:rtl/>
        </w:rPr>
        <w:t>, שהוטלו בחוקי העזר של המועצה הנקובים בתוספת, יועלו ב</w:t>
      </w:r>
      <w:r w:rsidR="00994D77" w:rsidRPr="00347786">
        <w:rPr>
          <w:rFonts w:ascii="David" w:hAnsi="David"/>
          <w:rtl/>
        </w:rPr>
        <w:t>-1</w:t>
      </w:r>
      <w:r w:rsidRPr="00347786">
        <w:rPr>
          <w:rFonts w:ascii="David" w:hAnsi="David"/>
          <w:rtl/>
        </w:rPr>
        <w:t xml:space="preserve"> בכל חודש </w:t>
      </w:r>
      <w:r w:rsidRPr="00347786">
        <w:rPr>
          <w:rFonts w:ascii="David" w:hAnsi="David"/>
        </w:rPr>
        <w:t>)</w:t>
      </w:r>
      <w:r w:rsidRPr="00347786">
        <w:rPr>
          <w:rFonts w:ascii="David" w:hAnsi="David"/>
          <w:rtl/>
        </w:rPr>
        <w:t xml:space="preserve">להלן </w:t>
      </w:r>
      <w:r w:rsidRPr="00347786">
        <w:rPr>
          <w:rFonts w:ascii="David" w:hAnsi="David"/>
        </w:rPr>
        <w:t>-</w:t>
      </w:r>
      <w:r w:rsidRPr="00347786">
        <w:rPr>
          <w:rFonts w:ascii="David" w:hAnsi="David"/>
          <w:rtl/>
        </w:rPr>
        <w:t xml:space="preserve"> יום ההעלאה</w:t>
      </w:r>
      <w:r w:rsidRPr="00347786">
        <w:rPr>
          <w:rFonts w:ascii="David" w:hAnsi="David"/>
        </w:rPr>
        <w:t>(</w:t>
      </w:r>
      <w:r w:rsidRPr="00347786">
        <w:rPr>
          <w:rFonts w:ascii="David" w:hAnsi="David"/>
          <w:rtl/>
        </w:rPr>
        <w:t>, לפי שיעור עליית המדד מן המדד שפורסם לאחרונה לפני יום ההעלאה הקודם עד המדד שפורסם לאחרונה לפני יום ההעלאה.</w:t>
      </w:r>
    </w:p>
    <w:p w:rsidR="00347786" w:rsidRDefault="00B95BF7" w:rsidP="00347786">
      <w:pPr>
        <w:pStyle w:val="ae"/>
        <w:numPr>
          <w:ilvl w:val="0"/>
          <w:numId w:val="2"/>
        </w:numPr>
        <w:tabs>
          <w:tab w:val="clear" w:pos="624"/>
          <w:tab w:val="clear" w:pos="651"/>
        </w:tabs>
        <w:ind w:left="521"/>
        <w:rPr>
          <w:rFonts w:ascii="David" w:hAnsi="David"/>
        </w:rPr>
      </w:pPr>
      <w:r w:rsidRPr="00347786">
        <w:rPr>
          <w:rFonts w:ascii="David" w:hAnsi="David"/>
          <w:rtl/>
        </w:rPr>
        <w:t xml:space="preserve">סכום מוגדל כאמור בסעיף קטן </w:t>
      </w:r>
      <w:r w:rsidRPr="00347786">
        <w:rPr>
          <w:rFonts w:ascii="David" w:hAnsi="David"/>
        </w:rPr>
        <w:t>)</w:t>
      </w:r>
      <w:r w:rsidRPr="00347786">
        <w:rPr>
          <w:rFonts w:ascii="David" w:hAnsi="David"/>
          <w:rtl/>
        </w:rPr>
        <w:t>א</w:t>
      </w:r>
      <w:r w:rsidRPr="00347786">
        <w:rPr>
          <w:rFonts w:ascii="David" w:hAnsi="David"/>
        </w:rPr>
        <w:t>(</w:t>
      </w:r>
      <w:r w:rsidRPr="00347786">
        <w:rPr>
          <w:rFonts w:ascii="David" w:hAnsi="David"/>
          <w:rtl/>
        </w:rPr>
        <w:t xml:space="preserve"> יעוגל לשקל השלם הקרוב.</w:t>
      </w:r>
    </w:p>
    <w:p w:rsidR="00B95BF7" w:rsidRPr="00347786" w:rsidRDefault="00B95BF7" w:rsidP="00347786">
      <w:pPr>
        <w:pStyle w:val="ae"/>
        <w:numPr>
          <w:ilvl w:val="0"/>
          <w:numId w:val="2"/>
        </w:numPr>
        <w:tabs>
          <w:tab w:val="clear" w:pos="624"/>
          <w:tab w:val="clear" w:pos="651"/>
        </w:tabs>
        <w:ind w:left="521"/>
        <w:rPr>
          <w:rFonts w:ascii="David" w:hAnsi="David"/>
        </w:rPr>
      </w:pPr>
      <w:r w:rsidRPr="00347786">
        <w:rPr>
          <w:rFonts w:ascii="David" w:hAnsi="David"/>
          <w:rtl/>
        </w:rPr>
        <w:t xml:space="preserve">רשימות בדבר שיעורי האגרות, ההיטלים והתשלומים האחרים כפי שהם מוגדלים עקב עליית המדד יוצגו בידי ראש המועצה </w:t>
      </w:r>
      <w:proofErr w:type="spellStart"/>
      <w:r w:rsidRPr="00347786">
        <w:rPr>
          <w:rFonts w:ascii="David" w:hAnsi="David"/>
          <w:rtl/>
        </w:rPr>
        <w:t>בבנין</w:t>
      </w:r>
      <w:proofErr w:type="spellEnd"/>
      <w:r w:rsidRPr="00347786">
        <w:rPr>
          <w:rFonts w:ascii="David" w:hAnsi="David"/>
          <w:rtl/>
        </w:rPr>
        <w:t xml:space="preserve"> המועצה ועותקים של הרשימות האמורות יופקדו במשרד </w:t>
      </w:r>
      <w:proofErr w:type="spellStart"/>
      <w:r w:rsidRPr="00347786">
        <w:rPr>
          <w:rFonts w:ascii="David" w:hAnsi="David"/>
          <w:rtl/>
        </w:rPr>
        <w:t>מינהל</w:t>
      </w:r>
      <w:proofErr w:type="spellEnd"/>
      <w:r w:rsidRPr="00347786">
        <w:rPr>
          <w:rFonts w:ascii="David" w:hAnsi="David"/>
          <w:rtl/>
        </w:rPr>
        <w:t xml:space="preserve"> המחוז ובמשרד הפנים, הקריה, ירושלים.</w:t>
      </w:r>
    </w:p>
    <w:p w:rsidR="00B95BF7" w:rsidRPr="00347786" w:rsidRDefault="00B95BF7" w:rsidP="00347786">
      <w:pPr>
        <w:pStyle w:val="2"/>
        <w:jc w:val="center"/>
        <w:rPr>
          <w:sz w:val="28"/>
          <w:szCs w:val="28"/>
        </w:rPr>
      </w:pPr>
      <w:r w:rsidRPr="00347786">
        <w:rPr>
          <w:sz w:val="28"/>
          <w:szCs w:val="28"/>
          <w:rtl/>
        </w:rPr>
        <w:t>תוספת</w:t>
      </w:r>
    </w:p>
    <w:p w:rsidR="00B95BF7" w:rsidRPr="00347786" w:rsidRDefault="00347786" w:rsidP="00347786">
      <w:pPr>
        <w:pStyle w:val="3"/>
        <w:spacing w:before="120" w:after="120"/>
        <w:rPr>
          <w:rStyle w:val="30"/>
        </w:rPr>
      </w:pPr>
      <w:r>
        <w:rPr>
          <w:rStyle w:val="30"/>
          <w:rFonts w:hint="cs"/>
          <w:rtl/>
        </w:rPr>
        <w:t>(</w:t>
      </w:r>
      <w:r w:rsidR="00B95BF7" w:rsidRPr="00347786">
        <w:rPr>
          <w:rStyle w:val="30"/>
          <w:rtl/>
        </w:rPr>
        <w:t>סעיף 2</w:t>
      </w:r>
      <w:r>
        <w:rPr>
          <w:rStyle w:val="30"/>
          <w:rFonts w:hint="cs"/>
          <w:rtl/>
        </w:rPr>
        <w:t>)</w:t>
      </w:r>
    </w:p>
    <w:p w:rsidR="00B95BF7" w:rsidRPr="00347786" w:rsidRDefault="00B95BF7" w:rsidP="00B95BF7">
      <w:pPr>
        <w:pStyle w:val="21"/>
        <w:ind w:left="998" w:right="0"/>
        <w:rPr>
          <w:rFonts w:ascii="David" w:hAnsi="David"/>
        </w:rPr>
      </w:pPr>
      <w:r w:rsidRPr="00347786">
        <w:rPr>
          <w:rFonts w:ascii="David" w:hAnsi="David"/>
          <w:rtl/>
        </w:rPr>
        <w:t xml:space="preserve">חוק עזר לבאקה אל גרביה </w:t>
      </w:r>
      <w:r w:rsidRPr="00347786">
        <w:rPr>
          <w:rFonts w:ascii="David" w:hAnsi="David"/>
        </w:rPr>
        <w:t>)</w:t>
      </w:r>
      <w:r w:rsidRPr="00347786">
        <w:rPr>
          <w:rFonts w:ascii="David" w:hAnsi="David"/>
          <w:rtl/>
        </w:rPr>
        <w:t>אגרת תעודת אישור</w:t>
      </w:r>
      <w:r w:rsidRPr="00347786">
        <w:rPr>
          <w:rFonts w:ascii="David" w:hAnsi="David"/>
        </w:rPr>
        <w:t>(</w:t>
      </w:r>
      <w:r w:rsidRPr="00347786">
        <w:rPr>
          <w:rFonts w:ascii="David" w:hAnsi="David"/>
          <w:rtl/>
        </w:rPr>
        <w:t xml:space="preserve">, </w:t>
      </w:r>
      <w:proofErr w:type="spellStart"/>
      <w:r w:rsidRPr="00347786">
        <w:rPr>
          <w:rFonts w:ascii="David" w:hAnsi="David"/>
          <w:rtl/>
        </w:rPr>
        <w:t>התש"ם</w:t>
      </w:r>
      <w:proofErr w:type="spellEnd"/>
      <w:r w:rsidR="00994D77" w:rsidRPr="00347786">
        <w:rPr>
          <w:rFonts w:ascii="David" w:hAnsi="David"/>
          <w:rtl/>
        </w:rPr>
        <w:t xml:space="preserve"> – 1980</w:t>
      </w:r>
      <w:r w:rsidR="00994D77" w:rsidRPr="00347786">
        <w:rPr>
          <w:rStyle w:val="af3"/>
          <w:rFonts w:ascii="David" w:hAnsi="David"/>
          <w:rtl/>
        </w:rPr>
        <w:footnoteReference w:id="2"/>
      </w:r>
      <w:r w:rsidR="00994D77" w:rsidRPr="00347786">
        <w:rPr>
          <w:rFonts w:ascii="David" w:hAnsi="David"/>
          <w:rtl/>
        </w:rPr>
        <w:t>.</w:t>
      </w:r>
    </w:p>
    <w:p w:rsidR="00B95BF7" w:rsidRPr="00347786" w:rsidRDefault="00B95BF7" w:rsidP="00B95BF7">
      <w:pPr>
        <w:pStyle w:val="21"/>
        <w:ind w:left="998" w:right="0"/>
        <w:rPr>
          <w:rFonts w:ascii="David" w:hAnsi="David"/>
        </w:rPr>
      </w:pPr>
      <w:r w:rsidRPr="00347786">
        <w:rPr>
          <w:rFonts w:ascii="David" w:hAnsi="David"/>
          <w:rtl/>
        </w:rPr>
        <w:t xml:space="preserve">חוק עזר לבאקה אל גרביה </w:t>
      </w:r>
      <w:r w:rsidRPr="00347786">
        <w:rPr>
          <w:rFonts w:ascii="David" w:hAnsi="David"/>
        </w:rPr>
        <w:t>)</w:t>
      </w:r>
      <w:r w:rsidRPr="00347786">
        <w:rPr>
          <w:rFonts w:ascii="David" w:hAnsi="David"/>
          <w:rtl/>
        </w:rPr>
        <w:t>רוכלים</w:t>
      </w:r>
      <w:r w:rsidRPr="00347786">
        <w:rPr>
          <w:rFonts w:ascii="David" w:hAnsi="David"/>
        </w:rPr>
        <w:t>(</w:t>
      </w:r>
      <w:r w:rsidRPr="00347786">
        <w:rPr>
          <w:rFonts w:ascii="David" w:hAnsi="David"/>
          <w:rtl/>
        </w:rPr>
        <w:t xml:space="preserve">, </w:t>
      </w:r>
      <w:proofErr w:type="spellStart"/>
      <w:r w:rsidRPr="00347786">
        <w:rPr>
          <w:rFonts w:ascii="David" w:hAnsi="David"/>
          <w:rtl/>
        </w:rPr>
        <w:t>התש"ם</w:t>
      </w:r>
      <w:proofErr w:type="spellEnd"/>
      <w:r w:rsidR="00994D77" w:rsidRPr="00347786">
        <w:rPr>
          <w:rFonts w:ascii="David" w:hAnsi="David"/>
          <w:rtl/>
        </w:rPr>
        <w:t xml:space="preserve"> – 1979</w:t>
      </w:r>
      <w:r w:rsidR="00994D77" w:rsidRPr="00347786">
        <w:rPr>
          <w:rStyle w:val="af3"/>
          <w:rFonts w:ascii="David" w:hAnsi="David"/>
          <w:rtl/>
        </w:rPr>
        <w:footnoteReference w:id="3"/>
      </w:r>
      <w:r w:rsidR="00994D77" w:rsidRPr="00347786">
        <w:rPr>
          <w:rFonts w:ascii="David" w:hAnsi="David"/>
          <w:rtl/>
        </w:rPr>
        <w:t>.</w:t>
      </w:r>
    </w:p>
    <w:p w:rsidR="00B95BF7" w:rsidRPr="00347786" w:rsidRDefault="00B95BF7" w:rsidP="00B95BF7">
      <w:pPr>
        <w:pStyle w:val="21"/>
        <w:ind w:left="998" w:right="0"/>
        <w:rPr>
          <w:rFonts w:ascii="David" w:hAnsi="David"/>
        </w:rPr>
      </w:pPr>
      <w:r w:rsidRPr="00347786">
        <w:rPr>
          <w:rFonts w:ascii="David" w:hAnsi="David"/>
          <w:rtl/>
        </w:rPr>
        <w:t xml:space="preserve">חוק עזר לבאקה אל גרביה </w:t>
      </w:r>
      <w:r w:rsidRPr="00347786">
        <w:rPr>
          <w:rFonts w:ascii="David" w:hAnsi="David"/>
        </w:rPr>
        <w:t>)</w:t>
      </w:r>
      <w:r w:rsidRPr="00347786">
        <w:rPr>
          <w:rFonts w:ascii="David" w:hAnsi="David"/>
          <w:rtl/>
        </w:rPr>
        <w:t>בית מטבחיים</w:t>
      </w:r>
      <w:r w:rsidRPr="00347786">
        <w:rPr>
          <w:rFonts w:ascii="David" w:hAnsi="David"/>
        </w:rPr>
        <w:t>(</w:t>
      </w:r>
      <w:r w:rsidRPr="00347786">
        <w:rPr>
          <w:rFonts w:ascii="David" w:hAnsi="David"/>
          <w:rtl/>
        </w:rPr>
        <w:t xml:space="preserve">, </w:t>
      </w:r>
      <w:proofErr w:type="spellStart"/>
      <w:r w:rsidRPr="00347786">
        <w:rPr>
          <w:rFonts w:ascii="David" w:hAnsi="David"/>
          <w:rtl/>
        </w:rPr>
        <w:t>התש"ך</w:t>
      </w:r>
      <w:proofErr w:type="spellEnd"/>
      <w:r w:rsidR="00994D77" w:rsidRPr="00347786">
        <w:rPr>
          <w:rFonts w:ascii="David" w:hAnsi="David"/>
          <w:rtl/>
        </w:rPr>
        <w:t xml:space="preserve"> – 1960</w:t>
      </w:r>
      <w:r w:rsidR="00994D77" w:rsidRPr="00347786">
        <w:rPr>
          <w:rStyle w:val="af3"/>
          <w:rFonts w:ascii="David" w:hAnsi="David"/>
          <w:rtl/>
        </w:rPr>
        <w:footnoteReference w:id="4"/>
      </w:r>
      <w:r w:rsidR="00994D77" w:rsidRPr="00347786">
        <w:rPr>
          <w:rFonts w:ascii="David" w:hAnsi="David"/>
          <w:rtl/>
        </w:rPr>
        <w:t>.</w:t>
      </w:r>
    </w:p>
    <w:p w:rsidR="00B95BF7" w:rsidRPr="00347786" w:rsidRDefault="00B95BF7" w:rsidP="00B95BF7">
      <w:pPr>
        <w:pStyle w:val="21"/>
        <w:ind w:left="998" w:right="0"/>
        <w:rPr>
          <w:rFonts w:ascii="David" w:hAnsi="David"/>
        </w:rPr>
      </w:pPr>
      <w:r w:rsidRPr="00347786">
        <w:rPr>
          <w:rFonts w:ascii="David" w:hAnsi="David"/>
          <w:rtl/>
        </w:rPr>
        <w:t xml:space="preserve">חוק עזר לבאקה אל גרביה </w:t>
      </w:r>
      <w:r w:rsidRPr="00347786">
        <w:rPr>
          <w:rFonts w:ascii="David" w:hAnsi="David"/>
        </w:rPr>
        <w:t>)</w:t>
      </w:r>
      <w:r w:rsidRPr="00347786">
        <w:rPr>
          <w:rFonts w:ascii="David" w:hAnsi="David"/>
          <w:rtl/>
        </w:rPr>
        <w:t>אספקת מים</w:t>
      </w:r>
      <w:r w:rsidRPr="00347786">
        <w:rPr>
          <w:rFonts w:ascii="David" w:hAnsi="David"/>
        </w:rPr>
        <w:t>(</w:t>
      </w:r>
      <w:r w:rsidRPr="00347786">
        <w:rPr>
          <w:rFonts w:ascii="David" w:hAnsi="David"/>
          <w:rtl/>
        </w:rPr>
        <w:t xml:space="preserve">, </w:t>
      </w:r>
      <w:proofErr w:type="spellStart"/>
      <w:r w:rsidRPr="00347786">
        <w:rPr>
          <w:rFonts w:ascii="David" w:hAnsi="David"/>
          <w:rtl/>
        </w:rPr>
        <w:t>התשכ"ט</w:t>
      </w:r>
      <w:proofErr w:type="spellEnd"/>
      <w:r w:rsidR="00994D77" w:rsidRPr="00347786">
        <w:rPr>
          <w:rFonts w:ascii="David" w:hAnsi="David"/>
          <w:rtl/>
        </w:rPr>
        <w:t xml:space="preserve"> – 1969</w:t>
      </w:r>
      <w:r w:rsidR="00994D77" w:rsidRPr="00347786">
        <w:rPr>
          <w:rStyle w:val="af3"/>
          <w:rFonts w:ascii="David" w:hAnsi="David"/>
          <w:rtl/>
        </w:rPr>
        <w:footnoteReference w:id="5"/>
      </w:r>
      <w:r w:rsidR="00994D77" w:rsidRPr="00347786">
        <w:rPr>
          <w:rFonts w:ascii="David" w:hAnsi="David"/>
          <w:rtl/>
        </w:rPr>
        <w:t>.</w:t>
      </w:r>
    </w:p>
    <w:p w:rsidR="00994D77" w:rsidRPr="00347786" w:rsidRDefault="00994D77" w:rsidP="00347786">
      <w:pPr>
        <w:pStyle w:val="af0"/>
        <w:spacing w:before="120"/>
        <w:ind w:left="5052" w:right="0"/>
        <w:rPr>
          <w:rFonts w:ascii="David" w:hAnsi="David"/>
          <w:color w:val="auto"/>
        </w:rPr>
      </w:pPr>
      <w:proofErr w:type="spellStart"/>
      <w:r w:rsidRPr="00347786">
        <w:rPr>
          <w:rFonts w:ascii="David" w:hAnsi="David"/>
          <w:color w:val="auto"/>
          <w:rtl/>
        </w:rPr>
        <w:t>סמיר</w:t>
      </w:r>
      <w:proofErr w:type="spellEnd"/>
      <w:r w:rsidRPr="00347786">
        <w:rPr>
          <w:rFonts w:ascii="David" w:hAnsi="David"/>
          <w:color w:val="auto"/>
          <w:rtl/>
        </w:rPr>
        <w:t xml:space="preserve"> </w:t>
      </w:r>
      <w:proofErr w:type="spellStart"/>
      <w:r w:rsidRPr="00347786">
        <w:rPr>
          <w:rFonts w:ascii="David" w:hAnsi="David"/>
          <w:color w:val="auto"/>
          <w:rtl/>
        </w:rPr>
        <w:t>דרויש</w:t>
      </w:r>
      <w:proofErr w:type="spellEnd"/>
    </w:p>
    <w:p w:rsidR="00994D77" w:rsidRPr="00347786" w:rsidRDefault="00994D77" w:rsidP="00994D77">
      <w:pPr>
        <w:pStyle w:val="af0"/>
        <w:ind w:left="5052" w:right="0"/>
        <w:rPr>
          <w:rFonts w:ascii="David" w:hAnsi="David"/>
          <w:color w:val="auto"/>
          <w:rtl/>
        </w:rPr>
      </w:pPr>
      <w:r w:rsidRPr="00347786">
        <w:rPr>
          <w:rFonts w:ascii="David" w:hAnsi="David"/>
          <w:color w:val="auto"/>
          <w:rtl/>
        </w:rPr>
        <w:t>ראש המועצה המקומית באקה אל גרביה</w:t>
      </w:r>
    </w:p>
    <w:p w:rsidR="00B95BF7" w:rsidRPr="00347786" w:rsidRDefault="00B95BF7" w:rsidP="00347786">
      <w:pPr>
        <w:pStyle w:val="ad"/>
        <w:ind w:firstLine="237"/>
        <w:rPr>
          <w:rFonts w:ascii="David" w:hAnsi="David"/>
        </w:rPr>
      </w:pPr>
      <w:proofErr w:type="spellStart"/>
      <w:r w:rsidRPr="00347786">
        <w:rPr>
          <w:rFonts w:ascii="David" w:hAnsi="David"/>
          <w:rtl/>
        </w:rPr>
        <w:t>נתאשר</w:t>
      </w:r>
      <w:proofErr w:type="spellEnd"/>
      <w:r w:rsidRPr="00347786">
        <w:rPr>
          <w:rFonts w:ascii="David" w:hAnsi="David"/>
          <w:rtl/>
        </w:rPr>
        <w:t>.</w:t>
      </w:r>
    </w:p>
    <w:p w:rsidR="00B95BF7" w:rsidRPr="00347786" w:rsidRDefault="00B95BF7" w:rsidP="00347786">
      <w:pPr>
        <w:pStyle w:val="ad"/>
        <w:ind w:firstLine="237"/>
        <w:rPr>
          <w:rFonts w:ascii="David" w:hAnsi="David"/>
        </w:rPr>
      </w:pPr>
      <w:r w:rsidRPr="00347786">
        <w:rPr>
          <w:rFonts w:ascii="David" w:hAnsi="David"/>
          <w:rtl/>
        </w:rPr>
        <w:t xml:space="preserve">ה' באייר </w:t>
      </w:r>
      <w:proofErr w:type="spellStart"/>
      <w:r w:rsidRPr="00347786">
        <w:rPr>
          <w:rFonts w:ascii="David" w:hAnsi="David"/>
          <w:rtl/>
        </w:rPr>
        <w:t>התשמ"ה</w:t>
      </w:r>
      <w:proofErr w:type="spellEnd"/>
      <w:r w:rsidRPr="00347786">
        <w:rPr>
          <w:rFonts w:ascii="David" w:hAnsi="David"/>
          <w:rtl/>
        </w:rPr>
        <w:t xml:space="preserve"> </w:t>
      </w:r>
      <w:r w:rsidRPr="00347786">
        <w:rPr>
          <w:rFonts w:ascii="David" w:hAnsi="David"/>
        </w:rPr>
        <w:t>)</w:t>
      </w:r>
      <w:r w:rsidRPr="00347786">
        <w:rPr>
          <w:rFonts w:ascii="David" w:hAnsi="David"/>
          <w:rtl/>
        </w:rPr>
        <w:t>26 באפריל 1985</w:t>
      </w:r>
      <w:r w:rsidRPr="00347786">
        <w:rPr>
          <w:rFonts w:ascii="David" w:hAnsi="David"/>
        </w:rPr>
        <w:t>(</w:t>
      </w:r>
    </w:p>
    <w:p w:rsidR="00B95BF7" w:rsidRPr="00347786" w:rsidRDefault="00B95BF7" w:rsidP="00347786">
      <w:pPr>
        <w:pStyle w:val="af"/>
        <w:spacing w:before="240"/>
        <w:ind w:left="237"/>
        <w:rPr>
          <w:rFonts w:ascii="David" w:hAnsi="David"/>
          <w:color w:val="auto"/>
        </w:rPr>
      </w:pPr>
      <w:r w:rsidRPr="00347786">
        <w:rPr>
          <w:rFonts w:ascii="David" w:hAnsi="David"/>
          <w:color w:val="auto"/>
          <w:rtl/>
        </w:rPr>
        <w:t>יצחק פרץ</w:t>
      </w:r>
    </w:p>
    <w:p w:rsidR="00B95BF7" w:rsidRPr="00347786" w:rsidRDefault="00B95BF7" w:rsidP="00347786">
      <w:pPr>
        <w:pStyle w:val="af"/>
        <w:ind w:left="237"/>
        <w:rPr>
          <w:rFonts w:ascii="David" w:hAnsi="David"/>
          <w:color w:val="auto"/>
        </w:rPr>
      </w:pPr>
      <w:r w:rsidRPr="00347786">
        <w:rPr>
          <w:rFonts w:ascii="David" w:hAnsi="David"/>
          <w:color w:val="auto"/>
          <w:rtl/>
        </w:rPr>
        <w:t>שר הפנים</w:t>
      </w:r>
    </w:p>
    <w:p w:rsidR="002772D8" w:rsidRPr="00347786" w:rsidRDefault="002772D8">
      <w:pPr>
        <w:rPr>
          <w:rFonts w:ascii="David" w:hAnsi="David" w:cs="David"/>
        </w:rPr>
      </w:pPr>
    </w:p>
    <w:sectPr w:rsidR="002772D8" w:rsidRPr="00347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161" w:rsidRDefault="002E7161" w:rsidP="00994D77">
      <w:pPr>
        <w:spacing w:after="0" w:line="240" w:lineRule="auto"/>
      </w:pPr>
      <w:r>
        <w:separator/>
      </w:r>
    </w:p>
  </w:endnote>
  <w:endnote w:type="continuationSeparator" w:id="0">
    <w:p w:rsidR="002E7161" w:rsidRDefault="002E7161" w:rsidP="0099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161" w:rsidRDefault="002E7161" w:rsidP="00994D77">
      <w:pPr>
        <w:spacing w:after="0" w:line="240" w:lineRule="auto"/>
      </w:pPr>
      <w:r>
        <w:separator/>
      </w:r>
    </w:p>
  </w:footnote>
  <w:footnote w:type="continuationSeparator" w:id="0">
    <w:p w:rsidR="002E7161" w:rsidRDefault="002E7161" w:rsidP="00994D77">
      <w:pPr>
        <w:spacing w:after="0" w:line="240" w:lineRule="auto"/>
      </w:pPr>
      <w:r>
        <w:continuationSeparator/>
      </w:r>
    </w:p>
  </w:footnote>
  <w:footnote w:id="1">
    <w:p w:rsidR="00994D77" w:rsidRPr="00347786" w:rsidRDefault="00994D77" w:rsidP="00994D77">
      <w:pPr>
        <w:pStyle w:val="af1"/>
        <w:bidi/>
        <w:rPr>
          <w:rFonts w:ascii="David" w:hAnsi="David" w:cs="David"/>
          <w:sz w:val="16"/>
          <w:szCs w:val="16"/>
          <w:rtl/>
        </w:rPr>
      </w:pPr>
      <w:r w:rsidRPr="00347786">
        <w:rPr>
          <w:rStyle w:val="af3"/>
          <w:rFonts w:ascii="David" w:hAnsi="David" w:cs="David"/>
          <w:sz w:val="16"/>
          <w:szCs w:val="16"/>
        </w:rPr>
        <w:footnoteRef/>
      </w:r>
      <w:r w:rsidRPr="00347786">
        <w:rPr>
          <w:rFonts w:ascii="David" w:hAnsi="David" w:cs="David"/>
          <w:sz w:val="16"/>
          <w:szCs w:val="16"/>
        </w:rPr>
        <w:t xml:space="preserve"> </w:t>
      </w:r>
      <w:r w:rsidRPr="00347786">
        <w:rPr>
          <w:rFonts w:ascii="David" w:hAnsi="David" w:cs="David"/>
          <w:sz w:val="16"/>
          <w:szCs w:val="16"/>
          <w:rtl/>
        </w:rPr>
        <w:t>דיני מדינת ישראל, נוסח חדש 9, עמ' 296.</w:t>
      </w:r>
    </w:p>
  </w:footnote>
  <w:footnote w:id="2">
    <w:p w:rsidR="00994D77" w:rsidRPr="00347786" w:rsidRDefault="00994D77" w:rsidP="00994D77">
      <w:pPr>
        <w:pStyle w:val="af1"/>
        <w:bidi/>
        <w:rPr>
          <w:rFonts w:ascii="David" w:hAnsi="David" w:cs="David"/>
          <w:sz w:val="16"/>
          <w:szCs w:val="16"/>
          <w:rtl/>
        </w:rPr>
      </w:pPr>
      <w:r w:rsidRPr="00347786">
        <w:rPr>
          <w:rStyle w:val="af3"/>
          <w:rFonts w:ascii="David" w:hAnsi="David" w:cs="David"/>
          <w:sz w:val="16"/>
          <w:szCs w:val="16"/>
        </w:rPr>
        <w:footnoteRef/>
      </w:r>
      <w:r w:rsidRPr="00347786">
        <w:rPr>
          <w:rFonts w:ascii="David" w:hAnsi="David" w:cs="David"/>
          <w:sz w:val="16"/>
          <w:szCs w:val="16"/>
        </w:rPr>
        <w:t xml:space="preserve"> </w:t>
      </w:r>
      <w:proofErr w:type="spellStart"/>
      <w:r w:rsidRPr="00347786">
        <w:rPr>
          <w:rFonts w:ascii="David" w:hAnsi="David" w:cs="David"/>
          <w:sz w:val="16"/>
          <w:szCs w:val="16"/>
          <w:rtl/>
        </w:rPr>
        <w:t>ק"ת</w:t>
      </w:r>
      <w:proofErr w:type="spellEnd"/>
      <w:r w:rsidRPr="00347786">
        <w:rPr>
          <w:rFonts w:ascii="David" w:hAnsi="David" w:cs="David"/>
          <w:sz w:val="16"/>
          <w:szCs w:val="16"/>
          <w:rtl/>
        </w:rPr>
        <w:t xml:space="preserve"> </w:t>
      </w:r>
      <w:proofErr w:type="spellStart"/>
      <w:r w:rsidRPr="00347786">
        <w:rPr>
          <w:rFonts w:ascii="David" w:hAnsi="David" w:cs="David"/>
          <w:sz w:val="16"/>
          <w:szCs w:val="16"/>
          <w:rtl/>
        </w:rPr>
        <w:t>התש"ם</w:t>
      </w:r>
      <w:proofErr w:type="spellEnd"/>
      <w:r w:rsidRPr="00347786">
        <w:rPr>
          <w:rFonts w:ascii="David" w:hAnsi="David" w:cs="David"/>
          <w:sz w:val="16"/>
          <w:szCs w:val="16"/>
          <w:rtl/>
        </w:rPr>
        <w:t>, עמ' 979.</w:t>
      </w:r>
    </w:p>
  </w:footnote>
  <w:footnote w:id="3">
    <w:p w:rsidR="00994D77" w:rsidRPr="00347786" w:rsidRDefault="00994D77" w:rsidP="00994D77">
      <w:pPr>
        <w:pStyle w:val="af1"/>
        <w:bidi/>
        <w:rPr>
          <w:rFonts w:ascii="David" w:hAnsi="David" w:cs="David"/>
          <w:sz w:val="16"/>
          <w:szCs w:val="16"/>
          <w:rtl/>
        </w:rPr>
      </w:pPr>
      <w:r w:rsidRPr="00347786">
        <w:rPr>
          <w:rStyle w:val="af3"/>
          <w:rFonts w:ascii="David" w:hAnsi="David" w:cs="David"/>
          <w:sz w:val="16"/>
          <w:szCs w:val="16"/>
        </w:rPr>
        <w:footnoteRef/>
      </w:r>
      <w:r w:rsidRPr="00347786">
        <w:rPr>
          <w:rFonts w:ascii="David" w:hAnsi="David" w:cs="David"/>
          <w:sz w:val="16"/>
          <w:szCs w:val="16"/>
        </w:rPr>
        <w:t xml:space="preserve"> </w:t>
      </w:r>
      <w:proofErr w:type="spellStart"/>
      <w:r w:rsidRPr="00347786">
        <w:rPr>
          <w:rFonts w:ascii="David" w:hAnsi="David" w:cs="David"/>
          <w:sz w:val="16"/>
          <w:szCs w:val="16"/>
          <w:rtl/>
        </w:rPr>
        <w:t>ק"ת</w:t>
      </w:r>
      <w:proofErr w:type="spellEnd"/>
      <w:r w:rsidRPr="00347786">
        <w:rPr>
          <w:rFonts w:ascii="David" w:hAnsi="David" w:cs="David"/>
          <w:sz w:val="16"/>
          <w:szCs w:val="16"/>
          <w:rtl/>
        </w:rPr>
        <w:t xml:space="preserve"> </w:t>
      </w:r>
      <w:proofErr w:type="spellStart"/>
      <w:r w:rsidRPr="00347786">
        <w:rPr>
          <w:rFonts w:ascii="David" w:hAnsi="David" w:cs="David"/>
          <w:sz w:val="16"/>
          <w:szCs w:val="16"/>
          <w:rtl/>
        </w:rPr>
        <w:t>התש"ם</w:t>
      </w:r>
      <w:proofErr w:type="spellEnd"/>
      <w:r w:rsidRPr="00347786">
        <w:rPr>
          <w:rFonts w:ascii="David" w:hAnsi="David" w:cs="David"/>
          <w:sz w:val="16"/>
          <w:szCs w:val="16"/>
          <w:rtl/>
        </w:rPr>
        <w:t>, עמ' 1004.</w:t>
      </w:r>
    </w:p>
  </w:footnote>
  <w:footnote w:id="4">
    <w:p w:rsidR="00994D77" w:rsidRPr="00347786" w:rsidRDefault="00994D77" w:rsidP="00994D77">
      <w:pPr>
        <w:pStyle w:val="af1"/>
        <w:bidi/>
        <w:rPr>
          <w:rFonts w:ascii="David" w:hAnsi="David" w:cs="David"/>
          <w:sz w:val="16"/>
          <w:szCs w:val="16"/>
          <w:rtl/>
        </w:rPr>
      </w:pPr>
      <w:r w:rsidRPr="00347786">
        <w:rPr>
          <w:rStyle w:val="af3"/>
          <w:rFonts w:ascii="David" w:hAnsi="David" w:cs="David"/>
          <w:sz w:val="16"/>
          <w:szCs w:val="16"/>
        </w:rPr>
        <w:footnoteRef/>
      </w:r>
      <w:r w:rsidRPr="00347786">
        <w:rPr>
          <w:rFonts w:ascii="David" w:hAnsi="David" w:cs="David"/>
          <w:sz w:val="16"/>
          <w:szCs w:val="16"/>
        </w:rPr>
        <w:t xml:space="preserve"> </w:t>
      </w:r>
      <w:proofErr w:type="spellStart"/>
      <w:r w:rsidRPr="00347786">
        <w:rPr>
          <w:rFonts w:ascii="David" w:hAnsi="David" w:cs="David"/>
          <w:sz w:val="16"/>
          <w:szCs w:val="16"/>
          <w:rtl/>
        </w:rPr>
        <w:t>ק"ת</w:t>
      </w:r>
      <w:proofErr w:type="spellEnd"/>
      <w:r w:rsidRPr="00347786">
        <w:rPr>
          <w:rFonts w:ascii="David" w:hAnsi="David" w:cs="David"/>
          <w:sz w:val="16"/>
          <w:szCs w:val="16"/>
          <w:rtl/>
        </w:rPr>
        <w:t xml:space="preserve"> </w:t>
      </w:r>
      <w:proofErr w:type="spellStart"/>
      <w:r w:rsidRPr="00347786">
        <w:rPr>
          <w:rFonts w:ascii="David" w:hAnsi="David" w:cs="David"/>
          <w:sz w:val="16"/>
          <w:szCs w:val="16"/>
          <w:rtl/>
        </w:rPr>
        <w:t>התש"ך</w:t>
      </w:r>
      <w:proofErr w:type="spellEnd"/>
      <w:r w:rsidRPr="00347786">
        <w:rPr>
          <w:rFonts w:ascii="David" w:hAnsi="David" w:cs="David"/>
          <w:sz w:val="16"/>
          <w:szCs w:val="16"/>
          <w:rtl/>
        </w:rPr>
        <w:t>, עמ' 519.</w:t>
      </w:r>
    </w:p>
  </w:footnote>
  <w:footnote w:id="5">
    <w:p w:rsidR="00994D77" w:rsidRDefault="00994D77" w:rsidP="00994D77">
      <w:pPr>
        <w:pStyle w:val="af1"/>
        <w:bidi/>
        <w:rPr>
          <w:rFonts w:hint="cs"/>
          <w:rtl/>
        </w:rPr>
      </w:pPr>
      <w:r w:rsidRPr="00347786">
        <w:rPr>
          <w:rStyle w:val="af3"/>
          <w:rFonts w:ascii="David" w:hAnsi="David" w:cs="David"/>
          <w:sz w:val="16"/>
          <w:szCs w:val="16"/>
        </w:rPr>
        <w:footnoteRef/>
      </w:r>
      <w:r w:rsidRPr="00347786">
        <w:rPr>
          <w:rFonts w:ascii="David" w:hAnsi="David" w:cs="David"/>
          <w:sz w:val="16"/>
          <w:szCs w:val="16"/>
        </w:rPr>
        <w:t xml:space="preserve"> </w:t>
      </w:r>
      <w:proofErr w:type="spellStart"/>
      <w:r w:rsidRPr="00347786">
        <w:rPr>
          <w:rFonts w:ascii="David" w:hAnsi="David" w:cs="David"/>
          <w:sz w:val="16"/>
          <w:szCs w:val="16"/>
          <w:rtl/>
        </w:rPr>
        <w:t>ק"ת</w:t>
      </w:r>
      <w:proofErr w:type="spellEnd"/>
      <w:r w:rsidRPr="00347786">
        <w:rPr>
          <w:rFonts w:ascii="David" w:hAnsi="David" w:cs="David"/>
          <w:sz w:val="16"/>
          <w:szCs w:val="16"/>
          <w:rtl/>
        </w:rPr>
        <w:t xml:space="preserve"> </w:t>
      </w:r>
      <w:proofErr w:type="spellStart"/>
      <w:r w:rsidRPr="00347786">
        <w:rPr>
          <w:rFonts w:ascii="David" w:hAnsi="David" w:cs="David"/>
          <w:sz w:val="16"/>
          <w:szCs w:val="16"/>
          <w:rtl/>
        </w:rPr>
        <w:t>התשכ"ט</w:t>
      </w:r>
      <w:proofErr w:type="spellEnd"/>
      <w:r w:rsidRPr="00347786">
        <w:rPr>
          <w:rFonts w:ascii="David" w:hAnsi="David" w:cs="David"/>
          <w:sz w:val="16"/>
          <w:szCs w:val="16"/>
          <w:rtl/>
        </w:rPr>
        <w:t>, עמ' 1001.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505E6"/>
    <w:multiLevelType w:val="hybridMultilevel"/>
    <w:tmpl w:val="30208D52"/>
    <w:lvl w:ilvl="0" w:tplc="08A4BD42">
      <w:start w:val="1"/>
      <w:numFmt w:val="hebrew1"/>
      <w:lvlText w:val="(%1)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B7F65"/>
    <w:multiLevelType w:val="hybridMultilevel"/>
    <w:tmpl w:val="2F3A35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F7"/>
    <w:rsid w:val="001E4623"/>
    <w:rsid w:val="002772D8"/>
    <w:rsid w:val="002E7161"/>
    <w:rsid w:val="00347786"/>
    <w:rsid w:val="00453DF4"/>
    <w:rsid w:val="00994D77"/>
    <w:rsid w:val="00B5232C"/>
    <w:rsid w:val="00B9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15764"/>
  <w15:chartTrackingRefBased/>
  <w15:docId w15:val="{CC6058C4-9B9E-49C6-AF0A-7E7F036E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5232C"/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95BF7"/>
    <w:pPr>
      <w:bidi/>
      <w:spacing w:after="0" w:line="360" w:lineRule="auto"/>
      <w:jc w:val="center"/>
      <w:outlineLvl w:val="0"/>
    </w:pPr>
    <w:rPr>
      <w:rFonts w:ascii="Arial" w:hAnsi="Arial" w:cs="Arial"/>
      <w:b/>
      <w:bCs/>
      <w:color w:val="BF8F00"/>
      <w:sz w:val="36"/>
      <w:szCs w:val="36"/>
      <w:lang w:eastAsia="he-IL"/>
    </w:rPr>
  </w:style>
  <w:style w:type="paragraph" w:styleId="2">
    <w:name w:val="heading 2"/>
    <w:basedOn w:val="a0"/>
    <w:next w:val="a"/>
    <w:link w:val="20"/>
    <w:uiPriority w:val="9"/>
    <w:qFormat/>
    <w:rsid w:val="00347786"/>
    <w:pPr>
      <w:ind w:left="618" w:right="0"/>
      <w:outlineLvl w:val="1"/>
    </w:pPr>
    <w:rPr>
      <w:rFonts w:ascii="David" w:hAnsi="David"/>
      <w:color w:val="auto"/>
    </w:rPr>
  </w:style>
  <w:style w:type="paragraph" w:styleId="3">
    <w:name w:val="heading 3"/>
    <w:basedOn w:val="11"/>
    <w:next w:val="a"/>
    <w:link w:val="30"/>
    <w:uiPriority w:val="9"/>
    <w:qFormat/>
    <w:rsid w:val="00347786"/>
    <w:pPr>
      <w:outlineLvl w:val="2"/>
    </w:pPr>
    <w:rPr>
      <w:rFonts w:ascii="David" w:hAnsi="Davi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523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1"/>
    <w:link w:val="a4"/>
    <w:uiPriority w:val="99"/>
    <w:rsid w:val="00B5232C"/>
    <w:rPr>
      <w:rFonts w:eastAsiaTheme="minorEastAsia"/>
      <w:lang w:val="en-US"/>
    </w:rPr>
  </w:style>
  <w:style w:type="paragraph" w:styleId="a6">
    <w:name w:val="footer"/>
    <w:basedOn w:val="a"/>
    <w:link w:val="a7"/>
    <w:uiPriority w:val="99"/>
    <w:unhideWhenUsed/>
    <w:rsid w:val="00B523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1"/>
    <w:link w:val="a6"/>
    <w:uiPriority w:val="99"/>
    <w:rsid w:val="00B5232C"/>
    <w:rPr>
      <w:rFonts w:eastAsiaTheme="minorEastAsia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5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1"/>
    <w:link w:val="a8"/>
    <w:uiPriority w:val="99"/>
    <w:semiHidden/>
    <w:rsid w:val="00B5232C"/>
    <w:rPr>
      <w:rFonts w:ascii="Tahoma" w:eastAsiaTheme="minorEastAsia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B5232C"/>
    <w:pPr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10">
    <w:name w:val="כותרת 1 תו"/>
    <w:basedOn w:val="a1"/>
    <w:link w:val="1"/>
    <w:uiPriority w:val="9"/>
    <w:rsid w:val="00B95BF7"/>
    <w:rPr>
      <w:rFonts w:ascii="Arial" w:eastAsiaTheme="minorEastAsia" w:hAnsi="Arial" w:cs="Arial"/>
      <w:b/>
      <w:bCs/>
      <w:color w:val="BF8F00"/>
      <w:sz w:val="36"/>
      <w:szCs w:val="36"/>
      <w:lang w:val="en-US" w:eastAsia="he-IL"/>
    </w:rPr>
  </w:style>
  <w:style w:type="paragraph" w:customStyle="1" w:styleId="ab">
    <w:name w:val="#איזכור"/>
    <w:uiPriority w:val="99"/>
    <w:rsid w:val="00B95BF7"/>
    <w:pPr>
      <w:tabs>
        <w:tab w:val="left" w:pos="2886"/>
        <w:tab w:val="left" w:pos="3918"/>
        <w:tab w:val="left" w:pos="5477"/>
      </w:tabs>
      <w:autoSpaceDE w:val="0"/>
      <w:autoSpaceDN w:val="0"/>
      <w:bidi/>
      <w:spacing w:after="0" w:line="180" w:lineRule="exact"/>
      <w:ind w:left="284" w:right="2177"/>
      <w:jc w:val="both"/>
    </w:pPr>
    <w:rPr>
      <w:rFonts w:ascii="Times New Roman" w:eastAsiaTheme="minorEastAsia" w:hAnsi="Times New Roman" w:cs="David"/>
      <w:color w:val="008000"/>
      <w:sz w:val="14"/>
      <w:szCs w:val="16"/>
      <w:lang w:val="en-US"/>
    </w:rPr>
  </w:style>
  <w:style w:type="paragraph" w:customStyle="1" w:styleId="ac">
    <w:name w:val="#הגדרות"/>
    <w:uiPriority w:val="99"/>
    <w:rsid w:val="00B95BF7"/>
    <w:pPr>
      <w:autoSpaceDE w:val="0"/>
      <w:autoSpaceDN w:val="0"/>
      <w:bidi/>
      <w:spacing w:after="0" w:line="240" w:lineRule="atLeast"/>
      <w:jc w:val="both"/>
    </w:pPr>
    <w:rPr>
      <w:rFonts w:ascii="Times New Roman" w:eastAsiaTheme="minorEastAsia" w:hAnsi="Times New Roman" w:cs="David"/>
      <w:sz w:val="16"/>
      <w:szCs w:val="20"/>
      <w:lang w:val="en-US"/>
    </w:rPr>
  </w:style>
  <w:style w:type="paragraph" w:customStyle="1" w:styleId="12">
    <w:name w:val="#רמה1"/>
    <w:uiPriority w:val="99"/>
    <w:rsid w:val="00B95BF7"/>
    <w:pPr>
      <w:tabs>
        <w:tab w:val="left" w:pos="998"/>
      </w:tabs>
      <w:autoSpaceDE w:val="0"/>
      <w:autoSpaceDN w:val="0"/>
      <w:bidi/>
      <w:spacing w:after="0" w:line="240" w:lineRule="atLeast"/>
      <w:ind w:firstLine="612"/>
      <w:jc w:val="both"/>
    </w:pPr>
    <w:rPr>
      <w:rFonts w:ascii="Times New Roman" w:eastAsiaTheme="minorEastAsia" w:hAnsi="Times New Roman" w:cs="David"/>
      <w:sz w:val="16"/>
      <w:szCs w:val="20"/>
      <w:lang w:val="en-US"/>
    </w:rPr>
  </w:style>
  <w:style w:type="paragraph" w:customStyle="1" w:styleId="ad">
    <w:name w:val="#הסמכה"/>
    <w:basedOn w:val="12"/>
    <w:next w:val="a"/>
    <w:uiPriority w:val="99"/>
    <w:rsid w:val="00B95BF7"/>
    <w:pPr>
      <w:spacing w:before="240"/>
    </w:pPr>
  </w:style>
  <w:style w:type="paragraph" w:customStyle="1" w:styleId="a0">
    <w:name w:val="#כותרתסעיף"/>
    <w:next w:val="12"/>
    <w:uiPriority w:val="99"/>
    <w:rsid w:val="00B95BF7"/>
    <w:pPr>
      <w:tabs>
        <w:tab w:val="left" w:pos="600"/>
      </w:tabs>
      <w:autoSpaceDE w:val="0"/>
      <w:autoSpaceDN w:val="0"/>
      <w:bidi/>
      <w:spacing w:before="230" w:after="0" w:line="240" w:lineRule="atLeast"/>
      <w:ind w:right="618" w:hanging="618"/>
      <w:jc w:val="both"/>
    </w:pPr>
    <w:rPr>
      <w:rFonts w:ascii="Times New Roman" w:eastAsiaTheme="minorEastAsia" w:hAnsi="Times New Roman" w:cs="David"/>
      <w:b/>
      <w:bCs/>
      <w:color w:val="000080"/>
      <w:spacing w:val="4"/>
      <w:sz w:val="18"/>
      <w:szCs w:val="21"/>
      <w:lang w:val="en-US"/>
    </w:rPr>
  </w:style>
  <w:style w:type="paragraph" w:customStyle="1" w:styleId="ae">
    <w:name w:val="#מספר סעיף"/>
    <w:next w:val="12"/>
    <w:uiPriority w:val="99"/>
    <w:rsid w:val="00B95BF7"/>
    <w:pPr>
      <w:tabs>
        <w:tab w:val="right" w:pos="624"/>
        <w:tab w:val="right" w:pos="651"/>
      </w:tabs>
      <w:autoSpaceDE w:val="0"/>
      <w:autoSpaceDN w:val="0"/>
      <w:bidi/>
      <w:spacing w:after="0" w:line="240" w:lineRule="atLeast"/>
      <w:jc w:val="both"/>
    </w:pPr>
    <w:rPr>
      <w:rFonts w:ascii="Times New Roman" w:eastAsiaTheme="minorEastAsia" w:hAnsi="Times New Roman" w:cs="David"/>
      <w:sz w:val="16"/>
      <w:szCs w:val="20"/>
      <w:lang w:val="en-US"/>
    </w:rPr>
  </w:style>
  <w:style w:type="paragraph" w:customStyle="1" w:styleId="13">
    <w:name w:val="#איזכור1"/>
    <w:basedOn w:val="ab"/>
    <w:next w:val="a"/>
    <w:uiPriority w:val="99"/>
    <w:rsid w:val="00B95BF7"/>
    <w:pPr>
      <w:spacing w:line="220" w:lineRule="exact"/>
      <w:ind w:left="0" w:right="0"/>
      <w:jc w:val="center"/>
    </w:pPr>
    <w:rPr>
      <w:color w:val="auto"/>
    </w:rPr>
  </w:style>
  <w:style w:type="paragraph" w:customStyle="1" w:styleId="af">
    <w:name w:val="#חתימת השר"/>
    <w:uiPriority w:val="99"/>
    <w:rsid w:val="00B95BF7"/>
    <w:pPr>
      <w:keepNext/>
      <w:tabs>
        <w:tab w:val="left" w:pos="651"/>
        <w:tab w:val="left" w:pos="1502"/>
        <w:tab w:val="left" w:pos="2352"/>
        <w:tab w:val="left" w:pos="3770"/>
      </w:tabs>
      <w:autoSpaceDE w:val="0"/>
      <w:autoSpaceDN w:val="0"/>
      <w:bidi/>
      <w:spacing w:before="60" w:after="0" w:line="240" w:lineRule="auto"/>
    </w:pPr>
    <w:rPr>
      <w:rFonts w:ascii="Times New Roman" w:eastAsiaTheme="minorEastAsia" w:hAnsi="Times New Roman" w:cs="David"/>
      <w:b/>
      <w:bCs/>
      <w:color w:val="800000"/>
      <w:sz w:val="16"/>
      <w:szCs w:val="20"/>
      <w:lang w:val="en-US"/>
    </w:rPr>
  </w:style>
  <w:style w:type="paragraph" w:customStyle="1" w:styleId="af0">
    <w:name w:val="#חתימת ראש הרשות"/>
    <w:basedOn w:val="a"/>
    <w:uiPriority w:val="99"/>
    <w:rsid w:val="00B95BF7"/>
    <w:pPr>
      <w:keepNext/>
      <w:tabs>
        <w:tab w:val="left" w:pos="998"/>
        <w:tab w:val="left" w:pos="1320"/>
        <w:tab w:val="left" w:pos="6321"/>
      </w:tabs>
      <w:autoSpaceDE w:val="0"/>
      <w:autoSpaceDN w:val="0"/>
      <w:bidi/>
      <w:spacing w:before="60" w:after="0" w:line="220" w:lineRule="exact"/>
      <w:ind w:right="5052"/>
      <w:jc w:val="center"/>
    </w:pPr>
    <w:rPr>
      <w:rFonts w:ascii="Times New Roman" w:hAnsi="Times New Roman" w:cs="David"/>
      <w:b/>
      <w:bCs/>
      <w:color w:val="800000"/>
      <w:sz w:val="16"/>
      <w:szCs w:val="20"/>
    </w:rPr>
  </w:style>
  <w:style w:type="paragraph" w:customStyle="1" w:styleId="11">
    <w:name w:val="#סימן1"/>
    <w:basedOn w:val="a"/>
    <w:next w:val="ac"/>
    <w:uiPriority w:val="99"/>
    <w:rsid w:val="00B95BF7"/>
    <w:pPr>
      <w:autoSpaceDE w:val="0"/>
      <w:autoSpaceDN w:val="0"/>
      <w:bidi/>
      <w:spacing w:after="0" w:line="240" w:lineRule="atLeast"/>
      <w:jc w:val="center"/>
    </w:pPr>
    <w:rPr>
      <w:rFonts w:ascii="Times New Roman" w:hAnsi="Times New Roman" w:cs="David"/>
      <w:sz w:val="18"/>
      <w:szCs w:val="21"/>
    </w:rPr>
  </w:style>
  <w:style w:type="paragraph" w:customStyle="1" w:styleId="-">
    <w:name w:val="#-פרק"/>
    <w:next w:val="a"/>
    <w:uiPriority w:val="99"/>
    <w:rsid w:val="00B95BF7"/>
    <w:pPr>
      <w:autoSpaceDE w:val="0"/>
      <w:autoSpaceDN w:val="0"/>
      <w:bidi/>
      <w:spacing w:before="260" w:after="60" w:line="240" w:lineRule="atLeast"/>
      <w:jc w:val="center"/>
    </w:pPr>
    <w:rPr>
      <w:rFonts w:ascii="Times New Roman" w:eastAsiaTheme="minorEastAsia" w:hAnsi="Times New Roman" w:cs="David"/>
      <w:b/>
      <w:bCs/>
      <w:color w:val="000080"/>
      <w:sz w:val="24"/>
      <w:szCs w:val="28"/>
      <w:lang w:val="en-US"/>
    </w:rPr>
  </w:style>
  <w:style w:type="paragraph" w:customStyle="1" w:styleId="21">
    <w:name w:val="#רמה2"/>
    <w:uiPriority w:val="99"/>
    <w:rsid w:val="00B95BF7"/>
    <w:pPr>
      <w:tabs>
        <w:tab w:val="left" w:pos="1418"/>
      </w:tabs>
      <w:autoSpaceDE w:val="0"/>
      <w:autoSpaceDN w:val="0"/>
      <w:bidi/>
      <w:spacing w:after="0" w:line="240" w:lineRule="atLeast"/>
      <w:ind w:right="998"/>
      <w:jc w:val="both"/>
    </w:pPr>
    <w:rPr>
      <w:rFonts w:ascii="Times New Roman" w:eastAsiaTheme="minorEastAsia" w:hAnsi="Times New Roman" w:cs="David"/>
      <w:sz w:val="16"/>
      <w:szCs w:val="20"/>
      <w:lang w:val="en-US"/>
    </w:rPr>
  </w:style>
  <w:style w:type="paragraph" w:styleId="af1">
    <w:name w:val="footnote text"/>
    <w:basedOn w:val="a"/>
    <w:link w:val="af2"/>
    <w:uiPriority w:val="99"/>
    <w:semiHidden/>
    <w:unhideWhenUsed/>
    <w:rsid w:val="00994D77"/>
    <w:pPr>
      <w:spacing w:after="0" w:line="240" w:lineRule="auto"/>
    </w:pPr>
    <w:rPr>
      <w:sz w:val="20"/>
      <w:szCs w:val="20"/>
    </w:rPr>
  </w:style>
  <w:style w:type="character" w:customStyle="1" w:styleId="af2">
    <w:name w:val="טקסט הערת שוליים תו"/>
    <w:basedOn w:val="a1"/>
    <w:link w:val="af1"/>
    <w:uiPriority w:val="99"/>
    <w:semiHidden/>
    <w:rsid w:val="00994D77"/>
    <w:rPr>
      <w:rFonts w:eastAsiaTheme="minorEastAsia"/>
      <w:sz w:val="20"/>
      <w:szCs w:val="20"/>
      <w:lang w:val="en-US"/>
    </w:rPr>
  </w:style>
  <w:style w:type="character" w:styleId="af3">
    <w:name w:val="footnote reference"/>
    <w:basedOn w:val="a1"/>
    <w:uiPriority w:val="99"/>
    <w:semiHidden/>
    <w:unhideWhenUsed/>
    <w:rsid w:val="00994D77"/>
    <w:rPr>
      <w:vertAlign w:val="superscript"/>
    </w:rPr>
  </w:style>
  <w:style w:type="character" w:customStyle="1" w:styleId="20">
    <w:name w:val="כותרת 2 תו"/>
    <w:basedOn w:val="a1"/>
    <w:link w:val="2"/>
    <w:uiPriority w:val="9"/>
    <w:rsid w:val="00347786"/>
    <w:rPr>
      <w:rFonts w:ascii="David" w:eastAsiaTheme="minorEastAsia" w:hAnsi="David" w:cs="David"/>
      <w:b/>
      <w:bCs/>
      <w:spacing w:val="4"/>
      <w:sz w:val="18"/>
      <w:szCs w:val="21"/>
      <w:lang w:val="en-US"/>
    </w:rPr>
  </w:style>
  <w:style w:type="character" w:customStyle="1" w:styleId="30">
    <w:name w:val="כותרת 3 תו"/>
    <w:basedOn w:val="a1"/>
    <w:link w:val="3"/>
    <w:uiPriority w:val="9"/>
    <w:rsid w:val="00347786"/>
    <w:rPr>
      <w:rFonts w:ascii="David" w:eastAsiaTheme="minorEastAsia" w:hAnsi="David" w:cs="David"/>
      <w:sz w:val="18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E718ACC2F62F74A9D6F710D720482CB" ma:contentTypeVersion="1" ma:contentTypeDescription="צור מסמך חדש." ma:contentTypeScope="" ma:versionID="bfefe1d1027b1c7b45904e02b6462e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24afc8cca2aba7e551681e4bcbb77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58D287-20BA-4266-A731-F187DDF16003}"/>
</file>

<file path=customXml/itemProps2.xml><?xml version="1.0" encoding="utf-8"?>
<ds:datastoreItem xmlns:ds="http://schemas.openxmlformats.org/officeDocument/2006/customXml" ds:itemID="{C39913B9-35CE-42C6-B896-D44A859C41F1}"/>
</file>

<file path=customXml/itemProps3.xml><?xml version="1.0" encoding="utf-8"?>
<ds:datastoreItem xmlns:ds="http://schemas.openxmlformats.org/officeDocument/2006/customXml" ds:itemID="{69EA5FC7-C5CC-4536-8221-D04A47E8A3B7}"/>
</file>

<file path=customXml/itemProps4.xml><?xml version="1.0" encoding="utf-8"?>
<ds:datastoreItem xmlns:ds="http://schemas.openxmlformats.org/officeDocument/2006/customXml" ds:itemID="{7CB75B3E-514F-4EF7-A8EB-6E7FD342C6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חוק עזר לבאקה אל גרביה (הצמדה למדד), התשמ"ה - 1985</dc:title>
  <dc:subject/>
  <dc:creator>Ester</dc:creator>
  <cp:keywords/>
  <dc:description/>
  <cp:lastModifiedBy>Ester</cp:lastModifiedBy>
  <cp:revision>5</cp:revision>
  <dcterms:created xsi:type="dcterms:W3CDTF">2018-01-09T02:19:00Z</dcterms:created>
  <dcterms:modified xsi:type="dcterms:W3CDTF">2018-01-09T02:27:00Z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0x010100CE718ACC2F62F74A9D6F710D720482CB</vt:lpwstr>
  </property>
</Properties>
</file>